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Initial scan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Explore what is happening for children in your setting </w:t>
        <w:tab/>
        <w:tab/>
        <w:tab/>
        <w:tab/>
        <w:tab/>
        <w:tab/>
      </w:r>
    </w:p>
    <w:tbl>
      <w:tblPr>
        <w:tblW w:w="139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7"/>
        <w:gridCol w:w="2937"/>
        <w:gridCol w:w="3214"/>
        <w:gridCol w:w="5030"/>
      </w:tblGrid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139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Learning area:</w:t>
            </w:r>
          </w:p>
        </w:tc>
      </w:tr>
      <w:tr>
        <w:tblPrEx>
          <w:shd w:val="clear" w:color="auto" w:fill="ced7e7"/>
        </w:tblPrEx>
        <w:trPr>
          <w:trHeight w:val="1922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are children in their learning? How well are they progressing towards the learning outcomes in 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 Wh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ā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riki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? 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learning</w:t>
            </w: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Current learning                                                   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</w:p>
        </w:tc>
      </w:tr>
      <w:tr>
        <w:tblPrEx>
          <w:shd w:val="clear" w:color="auto" w:fill="ced7e7"/>
        </w:tblPrEx>
        <w:trPr>
          <w:trHeight w:val="2367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learning processes and strategies do children use? What learning dispositions do children demonstrate?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learning processes and dispositions</w:t>
            </w: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Observed learning processes and dispositions                                     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67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child, family and community perspectives on this learning area?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attitudes: What do we hope children, families and communities would say?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Actual perspectives of children and families         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</w:p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sz w:val="22"/>
          <w:szCs w:val="22"/>
        </w:rPr>
      </w:pPr>
    </w:p>
    <w:p>
      <w:pPr>
        <w:pStyle w:val="Body A"/>
        <w:widowControl w:val="0"/>
        <w:rPr>
          <w:rStyle w:val="None A"/>
          <w:sz w:val="22"/>
          <w:szCs w:val="22"/>
        </w:rPr>
      </w:pPr>
    </w:p>
    <w:p>
      <w:pPr>
        <w:pStyle w:val="Body A"/>
      </w:pPr>
      <w:r>
        <w:rPr>
          <w:rStyle w:val="None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Find someone to share this with: what do they notice in the data?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</w:p>
  <w:p>
    <w:pPr>
      <w:pStyle w:val="Body A"/>
      <w:tabs>
        <w:tab w:val="right" w:pos="902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8038465</wp:posOffset>
          </wp:positionH>
          <wp:positionV relativeFrom="page">
            <wp:posOffset>161925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