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Roboto" w:cs="Roboto" w:hAnsi="Roboto" w:eastAsia="Roboto"/>
          <w:b w:val="1"/>
          <w:bCs w:val="1"/>
          <w:sz w:val="34"/>
          <w:szCs w:val="34"/>
        </w:rPr>
      </w:pPr>
      <w:r>
        <w:rPr>
          <w:rStyle w:val="None"/>
          <w:rFonts w:ascii="Roboto" w:hAnsi="Roboto"/>
          <w:b w:val="1"/>
          <w:bCs w:val="1"/>
          <w:sz w:val="34"/>
          <w:szCs w:val="34"/>
          <w:rtl w:val="0"/>
          <w:lang w:val="en-US"/>
        </w:rPr>
        <w:t>Tools for taking action: Monitoring progress</w:t>
      </w:r>
    </w:p>
    <w:p>
      <w:pPr>
        <w:pStyle w:val="Body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Keep a record of your progress through the planned actions of your inquiry:</w:t>
      </w:r>
    </w:p>
    <w:tbl>
      <w:tblPr>
        <w:tblW w:w="90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0"/>
        <w:gridCol w:w="1415"/>
        <w:gridCol w:w="1422"/>
        <w:gridCol w:w="1433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Planned actions</w:t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Not started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In progress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b w:val="1"/>
                <w:bCs w:val="1"/>
                <w:rtl w:val="0"/>
                <w:lang w:val="en-US"/>
              </w:rPr>
              <w:t>Completed</w:t>
            </w:r>
          </w:p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4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0" w:line="240" w:lineRule="auto"/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2021</w:t>
    </w: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tabs>
        <w:tab w:val="right" w:pos="900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This resource is for individual teacher use within their own school. If you are not a teacher, or are using this resource for more than one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tab/>
    </w: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