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rtl w:val="0"/>
          <w:lang w:val="en-US"/>
        </w:rPr>
        <w:t>Tools for scanning: Data aggregation template</w:t>
      </w:r>
    </w:p>
    <w:p>
      <w:pPr>
        <w:pStyle w:val="Body A"/>
      </w:pPr>
      <w:r>
        <w:rPr>
          <w:rStyle w:val="None"/>
          <w:rtl w:val="0"/>
          <w:lang w:val="en-US"/>
        </w:rPr>
        <w:t>Use this table to reflect on what you have uncovered during the scanning phase of your inquiry</w:t>
      </w:r>
    </w:p>
    <w:tbl>
      <w:tblPr>
        <w:tblW w:w="139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1"/>
        <w:gridCol w:w="2654"/>
        <w:gridCol w:w="3498"/>
        <w:gridCol w:w="3245"/>
      </w:tblGrid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4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What have you found out?</w:t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Data sources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>Do you have rich and multiple sources?</w:t>
            </w:r>
          </w:p>
        </w:tc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Is the data: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complete?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concealing something?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consistent and comparable with other data?</w:t>
            </w:r>
          </w:p>
        </w:tc>
        <w:tc>
          <w:tcPr>
            <w:tcW w:type="dxa" w:w="3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Emerging patterns, 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categories, trends</w:t>
            </w:r>
          </w:p>
        </w:tc>
      </w:tr>
      <w:tr>
        <w:tblPrEx>
          <w:shd w:val="clear" w:color="auto" w:fill="ced7e7"/>
        </w:tblPrEx>
        <w:trPr>
          <w:trHeight w:val="1664" w:hRule="atLeast"/>
        </w:trPr>
        <w:tc>
          <w:tcPr>
            <w:tcW w:type="dxa" w:w="4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Why do these matter?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What further evidence do you need?</w:t>
            </w:r>
          </w:p>
        </w:tc>
      </w:tr>
      <w:tr>
        <w:tblPrEx>
          <w:shd w:val="clear" w:color="auto" w:fill="ced7e7"/>
        </w:tblPrEx>
        <w:trPr>
          <w:trHeight w:val="1664" w:hRule="atLeast"/>
        </w:trPr>
        <w:tc>
          <w:tcPr>
            <w:tcW w:type="dxa" w:w="4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664" w:hRule="atLeast"/>
        </w:trPr>
        <w:tc>
          <w:tcPr>
            <w:tcW w:type="dxa" w:w="4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rPr>
        <w:rFonts w:ascii="Roboto" w:cs="Roboto" w:hAnsi="Roboto" w:eastAsia="Roboto"/>
        <w:outline w:val="0"/>
        <w:color w:val="535353"/>
        <w:sz w:val="16"/>
        <w:szCs w:val="16"/>
        <w:u w:color="535353"/>
        <w:lang w:val="en-US"/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1</w:t>
    </w:r>
  </w:p>
  <w:p>
    <w:pPr>
      <w:pStyle w:val="Header &amp; Footer"/>
      <w:rPr>
        <w:rFonts w:ascii="Roboto" w:cs="Roboto" w:hAnsi="Roboto" w:eastAsia="Roboto"/>
        <w:outline w:val="0"/>
        <w:color w:val="535353"/>
        <w:sz w:val="16"/>
        <w:szCs w:val="16"/>
        <w:u w:color="535353"/>
        <w:lang w:val="en-US"/>
        <w14:textFill>
          <w14:solidFill>
            <w14:srgbClr w14:val="535353"/>
          </w14:solidFill>
        </w14:textFill>
      </w:rPr>
    </w:pPr>
  </w:p>
  <w:p>
    <w:pPr>
      <w:pStyle w:val="Header &amp; Footer"/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This resource is for individual teacher use within their own school. If you are not a teacher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,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 or are using this resource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for more than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one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 school, please contact </w:t>
    </w:r>
    <w:r>
      <w:rPr>
        <w:rStyle w:val="Hyperlink.0"/>
        <w:sz w:val="16"/>
        <w:szCs w:val="16"/>
      </w:rPr>
      <w:fldChar w:fldCharType="begin" w:fldLock="0"/>
    </w:r>
    <w:r>
      <w:rPr>
        <w:rStyle w:val="Hyperlink.0"/>
        <w:sz w:val="16"/>
        <w:szCs w:val="16"/>
      </w:rPr>
      <w:instrText xml:space="preserve"> HYPERLINK "mailto:enquiries@theeducationhub.org.nz"</w:instrText>
    </w:r>
    <w:r>
      <w:rPr>
        <w:rStyle w:val="Hyperlink.0"/>
        <w:sz w:val="16"/>
        <w:szCs w:val="16"/>
      </w:rPr>
      <w:fldChar w:fldCharType="separate" w:fldLock="0"/>
    </w:r>
    <w:r>
      <w:rPr>
        <w:rStyle w:val="Hyperlink.0"/>
        <w:sz w:val="16"/>
        <w:szCs w:val="16"/>
        <w:rtl w:val="0"/>
        <w:lang w:val="en-US"/>
      </w:rPr>
      <w:t>enquiries@theeducationhub.org.nz</w:t>
    </w:r>
    <w:r>
      <w:rPr>
        <w:sz w:val="16"/>
        <w:szCs w:val="16"/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1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3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Roboto" w:cs="Arial Unicode MS" w:hAnsi="Robot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Roboto" w:cs="Arial Unicode MS" w:hAnsi="Robot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